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E07E81">
      <w:pPr>
        <w:pStyle w:val="10"/>
        <w:spacing w:before="0" w:beforeAutospacing="0" w:after="0" w:afterAutospacing="0" w:line="560" w:lineRule="exact"/>
        <w:ind w:right="420" w:firstLine="883" w:firstLineChars="200"/>
        <w:jc w:val="center"/>
        <w:rPr>
          <w:rFonts w:ascii="仿宋_GB2312" w:hAnsi="仿宋_GB2312" w:eastAsia="仿宋_GB2312" w:cs="仿宋_GB2312"/>
          <w:b/>
          <w:bCs/>
          <w:kern w:val="2"/>
          <w:sz w:val="44"/>
          <w:szCs w:val="44"/>
        </w:rPr>
      </w:pPr>
      <w:r>
        <w:rPr>
          <w:rFonts w:hint="eastAsia" w:ascii="仿宋_GB2312" w:hAnsi="仿宋_GB2312" w:eastAsia="仿宋_GB2312" w:cs="仿宋_GB2312"/>
          <w:b/>
          <w:bCs/>
          <w:kern w:val="2"/>
          <w:sz w:val="44"/>
          <w:szCs w:val="44"/>
        </w:rPr>
        <w:t>竞</w:t>
      </w:r>
      <w:r>
        <w:rPr>
          <w:rFonts w:ascii="仿宋_GB2312" w:hAnsi="仿宋_GB2312" w:eastAsia="仿宋_GB2312" w:cs="仿宋_GB2312"/>
          <w:b/>
          <w:bCs/>
          <w:kern w:val="2"/>
          <w:sz w:val="44"/>
          <w:szCs w:val="44"/>
        </w:rPr>
        <w:t xml:space="preserve"> </w:t>
      </w:r>
      <w:r>
        <w:rPr>
          <w:rFonts w:hint="eastAsia" w:ascii="仿宋_GB2312" w:hAnsi="仿宋_GB2312" w:eastAsia="仿宋_GB2312" w:cs="仿宋_GB2312"/>
          <w:b/>
          <w:bCs/>
          <w:kern w:val="2"/>
          <w:sz w:val="44"/>
          <w:szCs w:val="44"/>
        </w:rPr>
        <w:t>买</w:t>
      </w:r>
      <w:r>
        <w:rPr>
          <w:rFonts w:ascii="仿宋_GB2312" w:hAnsi="仿宋_GB2312" w:eastAsia="仿宋_GB2312" w:cs="仿宋_GB2312"/>
          <w:b/>
          <w:bCs/>
          <w:kern w:val="2"/>
          <w:sz w:val="44"/>
          <w:szCs w:val="44"/>
        </w:rPr>
        <w:t xml:space="preserve"> </w:t>
      </w:r>
      <w:r>
        <w:rPr>
          <w:rFonts w:hint="eastAsia" w:ascii="仿宋_GB2312" w:hAnsi="仿宋_GB2312" w:eastAsia="仿宋_GB2312" w:cs="仿宋_GB2312"/>
          <w:b/>
          <w:bCs/>
          <w:kern w:val="2"/>
          <w:sz w:val="44"/>
          <w:szCs w:val="44"/>
        </w:rPr>
        <w:t>须</w:t>
      </w:r>
      <w:r>
        <w:rPr>
          <w:rFonts w:ascii="仿宋_GB2312" w:hAnsi="仿宋_GB2312" w:eastAsia="仿宋_GB2312" w:cs="仿宋_GB2312"/>
          <w:b/>
          <w:bCs/>
          <w:kern w:val="2"/>
          <w:sz w:val="44"/>
          <w:szCs w:val="44"/>
        </w:rPr>
        <w:t xml:space="preserve"> </w:t>
      </w:r>
      <w:r>
        <w:rPr>
          <w:rFonts w:hint="eastAsia" w:ascii="仿宋_GB2312" w:hAnsi="仿宋_GB2312" w:eastAsia="仿宋_GB2312" w:cs="仿宋_GB2312"/>
          <w:b/>
          <w:bCs/>
          <w:kern w:val="2"/>
          <w:sz w:val="44"/>
          <w:szCs w:val="44"/>
        </w:rPr>
        <w:t>知</w:t>
      </w:r>
    </w:p>
    <w:p w14:paraId="3A61F3BB">
      <w:pPr>
        <w:pStyle w:val="10"/>
        <w:snapToGrid w:val="0"/>
        <w:spacing w:before="0" w:beforeAutospacing="0" w:after="0" w:afterAutospacing="0" w:line="300" w:lineRule="exact"/>
        <w:ind w:right="420" w:firstLine="560" w:firstLineChars="200"/>
        <w:jc w:val="center"/>
        <w:rPr>
          <w:rFonts w:ascii="仿宋_GB2312" w:hAnsi="仿宋_GB2312" w:eastAsia="仿宋_GB2312" w:cs="仿宋_GB2312"/>
          <w:kern w:val="2"/>
          <w:sz w:val="28"/>
          <w:szCs w:val="28"/>
        </w:rPr>
      </w:pPr>
    </w:p>
    <w:p w14:paraId="5AD010BE">
      <w:pPr>
        <w:widowControl/>
        <w:snapToGrid w:val="0"/>
        <w:spacing w:line="46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受委托，广东迅兴拍卖有限公司于2025年</w:t>
      </w:r>
      <w:r>
        <w:rPr>
          <w:rFonts w:hint="eastAsia" w:ascii="仿宋_GB2312" w:hAnsi="仿宋_GB2312" w:eastAsia="仿宋_GB2312" w:cs="仿宋_GB2312"/>
          <w:sz w:val="28"/>
          <w:szCs w:val="28"/>
          <w:lang w:val="en-US" w:eastAsia="zh-CN"/>
        </w:rPr>
        <w:t>6</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27</w:t>
      </w:r>
      <w:r>
        <w:rPr>
          <w:rFonts w:hint="eastAsia" w:ascii="仿宋_GB2312" w:hAnsi="仿宋_GB2312" w:eastAsia="仿宋_GB2312" w:cs="仿宋_GB2312"/>
          <w:sz w:val="28"/>
          <w:szCs w:val="28"/>
        </w:rPr>
        <w:t>日10时起至</w:t>
      </w:r>
      <w:r>
        <w:rPr>
          <w:rFonts w:hint="eastAsia" w:ascii="仿宋_GB2312" w:hAnsi="仿宋_GB2312" w:eastAsia="仿宋_GB2312" w:cs="仿宋_GB2312"/>
          <w:sz w:val="28"/>
          <w:szCs w:val="28"/>
          <w:lang w:val="en-US" w:eastAsia="zh-CN"/>
        </w:rPr>
        <w:t>6</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27</w:t>
      </w:r>
      <w:r>
        <w:rPr>
          <w:rFonts w:hint="eastAsia" w:ascii="仿宋_GB2312" w:hAnsi="仿宋_GB2312" w:eastAsia="仿宋_GB2312" w:cs="仿宋_GB2312"/>
          <w:sz w:val="28"/>
          <w:szCs w:val="28"/>
        </w:rPr>
        <w:t>日1</w:t>
      </w:r>
      <w:r>
        <w:rPr>
          <w:rFonts w:hint="eastAsia" w:ascii="仿宋_GB2312" w:hAnsi="仿宋_GB2312" w:eastAsia="仿宋_GB2312" w:cs="仿宋_GB2312"/>
          <w:sz w:val="28"/>
          <w:szCs w:val="28"/>
          <w:lang w:val="en-US" w:eastAsia="zh-CN"/>
        </w:rPr>
        <w:t>1时</w:t>
      </w:r>
      <w:r>
        <w:rPr>
          <w:rFonts w:hint="eastAsia" w:ascii="仿宋_GB2312" w:hAnsi="仿宋_GB2312" w:eastAsia="仿宋_GB2312" w:cs="仿宋_GB2312"/>
          <w:sz w:val="28"/>
          <w:szCs w:val="28"/>
        </w:rPr>
        <w:t>止（</w:t>
      </w:r>
      <w:r>
        <w:rPr>
          <w:rFonts w:hint="eastAsia" w:ascii="仿宋_GB2312" w:hAnsi="仿宋_GB2312" w:eastAsia="仿宋_GB2312" w:cs="仿宋_GB2312"/>
          <w:sz w:val="28"/>
          <w:szCs w:val="28"/>
          <w:lang w:val="en-US" w:eastAsia="zh-CN"/>
        </w:rPr>
        <w:t>四</w:t>
      </w:r>
      <w:r>
        <w:rPr>
          <w:rFonts w:hint="eastAsia" w:ascii="仿宋_GB2312" w:hAnsi="仿宋_GB2312" w:eastAsia="仿宋_GB2312" w:cs="仿宋_GB2312"/>
          <w:sz w:val="28"/>
          <w:szCs w:val="28"/>
        </w:rPr>
        <w:t>个专场同时进行，竞价周期30分钟，延时除外）在全拍网（www.allauc.com</w:t>
      </w:r>
      <w:r>
        <w:rPr>
          <w:rFonts w:ascii="仿宋_GB2312" w:hAnsi="仿宋_GB2312" w:eastAsia="仿宋_GB2312" w:cs="仿宋_GB2312"/>
          <w:sz w:val="28"/>
          <w:szCs w:val="28"/>
        </w:rPr>
        <w:t>）</w:t>
      </w:r>
      <w:r>
        <w:rPr>
          <w:rFonts w:hint="eastAsia" w:ascii="仿宋_GB2312" w:hAnsi="仿宋_GB2312" w:eastAsia="仿宋_GB2312" w:cs="仿宋_GB2312"/>
          <w:sz w:val="28"/>
          <w:szCs w:val="28"/>
        </w:rPr>
        <w:t>公开拍卖一批罚没物资。现就有关事宜敬告各位竞买人：</w:t>
      </w:r>
    </w:p>
    <w:p w14:paraId="7B1F319F">
      <w:pPr>
        <w:pStyle w:val="10"/>
        <w:snapToGrid w:val="0"/>
        <w:spacing w:before="0" w:beforeAutospacing="0" w:after="0" w:afterAutospacing="0" w:line="460" w:lineRule="exact"/>
        <w:ind w:firstLine="560" w:firstLineChars="200"/>
        <w:jc w:val="both"/>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一、竞价方式：本次竞价设置延时出价功能，在竞价结束前，当标的物的竞拍时间只剩最后</w:t>
      </w:r>
      <w:r>
        <w:rPr>
          <w:rFonts w:ascii="仿宋_GB2312" w:hAnsi="仿宋_GB2312" w:eastAsia="仿宋_GB2312" w:cs="仿宋_GB2312"/>
          <w:kern w:val="2"/>
          <w:sz w:val="28"/>
          <w:szCs w:val="28"/>
        </w:rPr>
        <w:t>5</w:t>
      </w:r>
      <w:r>
        <w:rPr>
          <w:rFonts w:hint="eastAsia" w:ascii="仿宋_GB2312" w:hAnsi="仿宋_GB2312" w:eastAsia="仿宋_GB2312" w:cs="仿宋_GB2312"/>
          <w:kern w:val="2"/>
          <w:sz w:val="28"/>
          <w:szCs w:val="28"/>
        </w:rPr>
        <w:t>分钟时，</w:t>
      </w:r>
      <w:r>
        <w:rPr>
          <w:rFonts w:ascii="仿宋_GB2312" w:hAnsi="仿宋_GB2312" w:eastAsia="仿宋_GB2312" w:cs="仿宋_GB2312"/>
          <w:kern w:val="2"/>
          <w:sz w:val="28"/>
          <w:szCs w:val="28"/>
        </w:rPr>
        <w:t>5</w:t>
      </w:r>
      <w:r>
        <w:rPr>
          <w:rFonts w:hint="eastAsia" w:ascii="仿宋_GB2312" w:hAnsi="仿宋_GB2312" w:eastAsia="仿宋_GB2312" w:cs="仿宋_GB2312"/>
          <w:kern w:val="2"/>
          <w:sz w:val="28"/>
          <w:szCs w:val="28"/>
        </w:rPr>
        <w:t>分钟内如果有人出价即循环延时</w:t>
      </w:r>
      <w:r>
        <w:rPr>
          <w:rFonts w:ascii="仿宋_GB2312" w:hAnsi="仿宋_GB2312" w:eastAsia="仿宋_GB2312" w:cs="仿宋_GB2312"/>
          <w:kern w:val="2"/>
          <w:sz w:val="28"/>
          <w:szCs w:val="28"/>
        </w:rPr>
        <w:t>5</w:t>
      </w:r>
      <w:r>
        <w:rPr>
          <w:rFonts w:hint="eastAsia" w:ascii="仿宋_GB2312" w:hAnsi="仿宋_GB2312" w:eastAsia="仿宋_GB2312" w:cs="仿宋_GB2312"/>
          <w:kern w:val="2"/>
          <w:sz w:val="28"/>
          <w:szCs w:val="28"/>
        </w:rPr>
        <w:t>分钟，直至无人出价。</w:t>
      </w:r>
    </w:p>
    <w:p w14:paraId="4AA89F2A">
      <w:pPr>
        <w:pStyle w:val="10"/>
        <w:shd w:val="clear" w:color="auto" w:fill="FFFFFF"/>
        <w:snapToGrid w:val="0"/>
        <w:spacing w:before="0" w:beforeAutospacing="0" w:after="0" w:afterAutospacing="0" w:line="460" w:lineRule="exact"/>
        <w:ind w:firstLine="560" w:firstLineChars="200"/>
        <w:jc w:val="both"/>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二、竞买人应具备条件：</w:t>
      </w:r>
    </w:p>
    <w:p w14:paraId="5FC3E88B">
      <w:pPr>
        <w:pStyle w:val="10"/>
        <w:shd w:val="clear" w:color="auto" w:fill="FFFFFF"/>
        <w:snapToGrid w:val="0"/>
        <w:spacing w:before="0" w:beforeAutospacing="0" w:after="0" w:afterAutospacing="0" w:line="460" w:lineRule="exact"/>
        <w:ind w:firstLine="560" w:firstLineChars="200"/>
        <w:jc w:val="both"/>
        <w:rPr>
          <w:rFonts w:ascii="仿宋_GB2312" w:hAnsi="仿宋_GB2312" w:eastAsia="仿宋_GB2312" w:cs="仿宋_GB2312"/>
          <w:kern w:val="2"/>
          <w:sz w:val="28"/>
          <w:szCs w:val="28"/>
        </w:rPr>
      </w:pPr>
      <w:r>
        <w:rPr>
          <w:rFonts w:hint="eastAsia" w:ascii="仿宋_GB2312" w:hAnsi="Arial" w:eastAsia="仿宋_GB2312" w:cs="Arial"/>
          <w:sz w:val="28"/>
          <w:szCs w:val="28"/>
        </w:rPr>
        <w:t>专</w:t>
      </w:r>
      <w:r>
        <w:rPr>
          <w:rFonts w:hint="eastAsia" w:ascii="仿宋_GB2312" w:hAnsi="仿宋_GB2312" w:eastAsia="仿宋_GB2312" w:cs="仿宋_GB2312"/>
          <w:kern w:val="2"/>
          <w:sz w:val="28"/>
          <w:szCs w:val="28"/>
        </w:rPr>
        <w:t>场一：凡具备完全民事行为能力的自然人、法人和非法人组织均可参加竞买。</w:t>
      </w:r>
    </w:p>
    <w:p w14:paraId="79BD0B63">
      <w:pPr>
        <w:pStyle w:val="10"/>
        <w:shd w:val="clear" w:color="auto" w:fill="FFFFFF"/>
        <w:snapToGrid w:val="0"/>
        <w:spacing w:before="0" w:beforeAutospacing="0" w:after="0" w:afterAutospacing="0" w:line="460" w:lineRule="exact"/>
        <w:ind w:firstLine="560" w:firstLineChars="200"/>
        <w:jc w:val="both"/>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专场</w:t>
      </w:r>
      <w:r>
        <w:rPr>
          <w:rFonts w:hint="eastAsia" w:ascii="仿宋_GB2312" w:hAnsi="仿宋_GB2312" w:eastAsia="仿宋_GB2312" w:cs="仿宋_GB2312"/>
          <w:kern w:val="2"/>
          <w:sz w:val="28"/>
          <w:szCs w:val="28"/>
          <w:lang w:val="en-US" w:eastAsia="zh-CN"/>
        </w:rPr>
        <w:t>二</w:t>
      </w:r>
      <w:r>
        <w:rPr>
          <w:rFonts w:hint="eastAsia" w:ascii="仿宋_GB2312" w:hAnsi="仿宋_GB2312" w:eastAsia="仿宋_GB2312" w:cs="仿宋_GB2312"/>
          <w:kern w:val="2"/>
          <w:sz w:val="28"/>
          <w:szCs w:val="28"/>
        </w:rPr>
        <w:t>：竞买人必须为境内持有效的可以经营柴油的企业法人单位；竞买人应具有《危险化学品经营许可证》（许可范围含有柴油）。</w:t>
      </w:r>
    </w:p>
    <w:p w14:paraId="646ACE92">
      <w:pPr>
        <w:pStyle w:val="10"/>
        <w:shd w:val="clear" w:color="auto" w:fill="FFFFFF"/>
        <w:snapToGrid w:val="0"/>
        <w:spacing w:before="0" w:beforeAutospacing="0" w:after="0" w:afterAutospacing="0" w:line="460" w:lineRule="exact"/>
        <w:ind w:firstLine="560" w:firstLineChars="200"/>
        <w:jc w:val="both"/>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专场</w:t>
      </w:r>
      <w:r>
        <w:rPr>
          <w:rFonts w:hint="eastAsia" w:ascii="仿宋_GB2312" w:hAnsi="仿宋_GB2312" w:eastAsia="仿宋_GB2312" w:cs="仿宋_GB2312"/>
          <w:kern w:val="2"/>
          <w:sz w:val="28"/>
          <w:szCs w:val="28"/>
          <w:lang w:val="en-US" w:eastAsia="zh-CN"/>
        </w:rPr>
        <w:t>三</w:t>
      </w:r>
      <w:r>
        <w:rPr>
          <w:rFonts w:hint="eastAsia" w:ascii="仿宋_GB2312" w:hAnsi="仿宋_GB2312" w:eastAsia="仿宋_GB2312" w:cs="仿宋_GB2312"/>
          <w:kern w:val="2"/>
          <w:sz w:val="28"/>
          <w:szCs w:val="28"/>
        </w:rPr>
        <w:t>：竞买人必须是注册地在广东省内具备船舶制造、船舶修理、船舶拆解等资质和拆解场地的企业法人单位。竞买人应符合国务院及生态环境等部门有关废船安全环保拆解的行政法规规定和国家环境标准规范，并提供由生态环境部门提供的拆船“项目竣工环境保护验收”材料和核发的拆船“排污许可证”。</w:t>
      </w:r>
    </w:p>
    <w:p w14:paraId="76BF907A">
      <w:pPr>
        <w:pStyle w:val="10"/>
        <w:shd w:val="clear" w:color="auto" w:fill="FFFFFF"/>
        <w:snapToGrid w:val="0"/>
        <w:spacing w:before="0" w:beforeAutospacing="0" w:after="0" w:afterAutospacing="0" w:line="460" w:lineRule="exact"/>
        <w:jc w:val="both"/>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 xml:space="preserve">     专场</w:t>
      </w:r>
      <w:r>
        <w:rPr>
          <w:rFonts w:hint="eastAsia" w:ascii="仿宋_GB2312" w:hAnsi="仿宋_GB2312" w:eastAsia="仿宋_GB2312" w:cs="仿宋_GB2312"/>
          <w:kern w:val="2"/>
          <w:sz w:val="28"/>
          <w:szCs w:val="28"/>
          <w:lang w:val="en-US" w:eastAsia="zh-CN"/>
        </w:rPr>
        <w:t>四</w:t>
      </w:r>
      <w:r>
        <w:rPr>
          <w:rFonts w:hint="eastAsia" w:ascii="仿宋_GB2312" w:hAnsi="仿宋_GB2312" w:eastAsia="仿宋_GB2312" w:cs="仿宋_GB2312"/>
          <w:kern w:val="2"/>
          <w:sz w:val="28"/>
          <w:szCs w:val="28"/>
        </w:rPr>
        <w:t>：竞买人须经省级商务部门公示的具有报废机动车回收拆解资质认定，且符合国家及省市车辆拆解行业监管有关规定和环保要求的企业法人单位。</w:t>
      </w:r>
    </w:p>
    <w:p w14:paraId="4037F638">
      <w:pPr>
        <w:pStyle w:val="10"/>
        <w:snapToGrid w:val="0"/>
        <w:spacing w:before="0" w:beforeAutospacing="0" w:after="0" w:afterAutospacing="0" w:line="460" w:lineRule="exact"/>
        <w:ind w:firstLine="560" w:firstLineChars="200"/>
        <w:jc w:val="both"/>
        <w:rPr>
          <w:rFonts w:ascii="仿宋_GB2312" w:hAnsi="仿宋_GB2312" w:eastAsia="仿宋_GB2312" w:cs="仿宋_GB2312"/>
          <w:sz w:val="28"/>
          <w:szCs w:val="28"/>
        </w:rPr>
      </w:pPr>
      <w:r>
        <w:rPr>
          <w:rFonts w:hint="eastAsia" w:ascii="仿宋_GB2312" w:hAnsi="仿宋_GB2312" w:eastAsia="仿宋_GB2312" w:cs="仿宋_GB2312"/>
          <w:kern w:val="2"/>
          <w:sz w:val="28"/>
          <w:szCs w:val="28"/>
        </w:rPr>
        <w:t>三、办理成交确认的主体应当与竞买人在全拍网注册并实名认证</w:t>
      </w:r>
      <w:r>
        <w:rPr>
          <w:rFonts w:hint="eastAsia" w:ascii="仿宋_GB2312" w:hAnsi="仿宋_GB2312" w:eastAsia="仿宋_GB2312" w:cs="仿宋_GB2312"/>
          <w:sz w:val="28"/>
          <w:szCs w:val="28"/>
        </w:rPr>
        <w:t>的竞买主体为同一人。</w:t>
      </w:r>
    </w:p>
    <w:p w14:paraId="32E929CF">
      <w:pPr>
        <w:pStyle w:val="10"/>
        <w:snapToGrid w:val="0"/>
        <w:spacing w:before="0" w:beforeAutospacing="0" w:after="0" w:afterAutospacing="0" w:line="460" w:lineRule="exact"/>
        <w:ind w:firstLine="560" w:firstLineChars="200"/>
        <w:jc w:val="both"/>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四、竞买人在参与竞价前，按照各专场竞买资质要求提交资料审核，审核通过后缴纳竞买保证金，无资质要求的专场一直接线下缴纳竞买保证金；竞拍成交的，竞买保证金自动转作履约保证金，拍卖人接到委托人标的办理完结通知后，全额原路退回履约保证金；买受人须在竞拍成交之时起2天内，付清拍卖成交价、拍卖佣金及平台技术服务费。</w:t>
      </w:r>
    </w:p>
    <w:p w14:paraId="35F5B594">
      <w:pPr>
        <w:pStyle w:val="10"/>
        <w:snapToGrid w:val="0"/>
        <w:spacing w:before="0" w:beforeAutospacing="0" w:after="0" w:afterAutospacing="0" w:line="460" w:lineRule="exact"/>
        <w:ind w:firstLine="560" w:firstLineChars="200"/>
        <w:jc w:val="both"/>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五、专场模式说明：一个专场包含多个标的，每个标的独立设置自身保证金金额，竞买人交纳竞买保证金时备注：标的序号竞买保证金。</w:t>
      </w:r>
    </w:p>
    <w:p w14:paraId="2E43BE44">
      <w:pPr>
        <w:pStyle w:val="10"/>
        <w:snapToGrid w:val="0"/>
        <w:spacing w:before="0" w:beforeAutospacing="0" w:after="0" w:afterAutospacing="0" w:line="460" w:lineRule="exact"/>
        <w:ind w:firstLine="560" w:firstLineChars="200"/>
        <w:jc w:val="both"/>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六、拍卖成交价不包含拍卖佣金及平台技术服务费，买受人除线上支付平台技术服务费（拍卖成交价的1%）外，还须以线下转账的方式支付成交价款及拍卖佣金（拍卖成交价的5%）。</w:t>
      </w:r>
    </w:p>
    <w:p w14:paraId="77E705D3">
      <w:pPr>
        <w:pStyle w:val="10"/>
        <w:snapToGrid w:val="0"/>
        <w:spacing w:before="0" w:beforeAutospacing="0" w:after="0" w:afterAutospacing="0" w:line="460" w:lineRule="exact"/>
        <w:ind w:firstLine="560" w:firstLineChars="200"/>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七、买受人须在竞拍结束后规定时间2天内付清相关款项和费用。买受人逾期或不交纳拍卖成交价款、拍卖佣金及平台技术服务费，视为买受人放弃该标的物，属于买受人违约，买受人须承担违约责任，且竞买保证金不予退还，同时委托人有权对该标的物另行处置。</w:t>
      </w:r>
    </w:p>
    <w:p w14:paraId="74D768A9">
      <w:pPr>
        <w:pStyle w:val="10"/>
        <w:snapToGrid w:val="0"/>
        <w:spacing w:before="0" w:beforeAutospacing="0" w:after="0" w:afterAutospacing="0" w:line="460" w:lineRule="exact"/>
        <w:ind w:firstLine="560" w:firstLineChars="200"/>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八、买受人付清相关款项和费用后，须在规定时间提货，逾期不提货所造成的损失由买受人自行承担，且买受人须承担相应违约责任，委托人有权对该标的物另行处置。</w:t>
      </w:r>
    </w:p>
    <w:p w14:paraId="06D702B9">
      <w:pPr>
        <w:pStyle w:val="10"/>
        <w:snapToGrid w:val="0"/>
        <w:spacing w:before="0" w:beforeAutospacing="0" w:after="0" w:afterAutospacing="0" w:line="460" w:lineRule="exact"/>
        <w:ind w:firstLine="560" w:firstLineChars="200"/>
        <w:jc w:val="both"/>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九、竞买人须妥善保管本人的账户及密码，任何以注册账户登录和参与竞买的操作，均视为本人的行为。</w:t>
      </w:r>
    </w:p>
    <w:p w14:paraId="01903945">
      <w:pPr>
        <w:snapToGrid w:val="0"/>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十、拍卖标的物在印刷、照片、视频、网页显示中的色彩、形态、比例、质感等与现场实物有差异的，应以现场实物为准。</w:t>
      </w:r>
    </w:p>
    <w:p w14:paraId="1859B42A">
      <w:pPr>
        <w:snapToGrid w:val="0"/>
        <w:spacing w:line="460" w:lineRule="exact"/>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十一、特别说明</w:t>
      </w:r>
    </w:p>
    <w:p w14:paraId="446172CE">
      <w:pPr>
        <w:snapToGrid w:val="0"/>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1、本次拍卖标的罚没物资分为</w:t>
      </w:r>
      <w:r>
        <w:rPr>
          <w:rFonts w:hint="eastAsia" w:ascii="仿宋_GB2312" w:hAnsi="仿宋_GB2312" w:eastAsia="仿宋_GB2312" w:cs="仿宋_GB2312"/>
          <w:sz w:val="28"/>
          <w:szCs w:val="28"/>
          <w:lang w:val="en-US" w:eastAsia="zh-CN"/>
        </w:rPr>
        <w:t>四</w:t>
      </w:r>
      <w:r>
        <w:rPr>
          <w:rFonts w:hint="eastAsia" w:ascii="仿宋_GB2312" w:hAnsi="仿宋_GB2312" w:eastAsia="仿宋_GB2312" w:cs="仿宋_GB2312"/>
          <w:sz w:val="28"/>
          <w:szCs w:val="28"/>
        </w:rPr>
        <w:t>个专场进行公开拍卖：</w:t>
      </w:r>
    </w:p>
    <w:p w14:paraId="28739812">
      <w:pPr>
        <w:snapToGrid w:val="0"/>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专场</w:t>
      </w:r>
      <w:r>
        <w:rPr>
          <w:rFonts w:hint="eastAsia" w:ascii="仿宋_GB2312" w:hAnsi="仿宋_GB2312" w:eastAsia="仿宋_GB2312" w:cs="仿宋_GB2312"/>
          <w:sz w:val="28"/>
          <w:szCs w:val="28"/>
          <w:lang w:val="en-US" w:eastAsia="zh-CN"/>
        </w:rPr>
        <w:t>一</w:t>
      </w:r>
      <w:r>
        <w:rPr>
          <w:rFonts w:hint="eastAsia" w:ascii="仿宋_GB2312" w:hAnsi="仿宋_GB2312" w:eastAsia="仿宋_GB2312" w:cs="仿宋_GB2312"/>
          <w:sz w:val="28"/>
          <w:szCs w:val="28"/>
        </w:rPr>
        <w:t>：车辆为罚没涉案车辆，无法出具法院裁决书和执行通知书，由委托单位出具判决书及协助函，能否正常过户不做担保，由买受人自行承担；罚没涉案车辆需买受人自行补办机动车登记证，车辆行驶证、车钥匙等；另外车辆的违章费用、年审费、过户费等，均由买受人自行处理并承担费用，且涉案车辆只允许过户至买受人名下，不可变更上牌人，请考虑竞买风险。</w:t>
      </w:r>
    </w:p>
    <w:p w14:paraId="498F1711">
      <w:pPr>
        <w:pStyle w:val="10"/>
        <w:shd w:val="clear" w:color="auto" w:fill="FFFFFF"/>
        <w:snapToGrid w:val="0"/>
        <w:spacing w:before="0" w:beforeAutospacing="0" w:after="0" w:afterAutospacing="0" w:line="440" w:lineRule="exact"/>
        <w:ind w:firstLine="640"/>
        <w:jc w:val="both"/>
        <w:rPr>
          <w:rFonts w:ascii="仿宋_GB2312" w:hAnsi="仿宋_GB2312" w:eastAsia="仿宋_GB2312" w:cs="仿宋_GB2312"/>
          <w:kern w:val="2"/>
          <w:sz w:val="28"/>
          <w:szCs w:val="28"/>
          <w:highlight w:val="none"/>
        </w:rPr>
      </w:pPr>
      <w:r>
        <w:rPr>
          <w:rFonts w:hint="eastAsia" w:ascii="仿宋_GB2312" w:hAnsi="仿宋_GB2312" w:eastAsia="仿宋_GB2312" w:cs="仿宋_GB2312"/>
          <w:kern w:val="2"/>
          <w:sz w:val="28"/>
          <w:szCs w:val="28"/>
          <w:highlight w:val="none"/>
        </w:rPr>
        <w:t>专场</w:t>
      </w:r>
      <w:r>
        <w:rPr>
          <w:rFonts w:hint="eastAsia" w:ascii="仿宋_GB2312" w:hAnsi="仿宋_GB2312" w:eastAsia="仿宋_GB2312" w:cs="仿宋_GB2312"/>
          <w:kern w:val="2"/>
          <w:sz w:val="28"/>
          <w:szCs w:val="28"/>
          <w:highlight w:val="none"/>
          <w:lang w:val="en-US" w:eastAsia="zh-CN"/>
        </w:rPr>
        <w:t>二</w:t>
      </w:r>
      <w:r>
        <w:rPr>
          <w:rFonts w:hint="eastAsia" w:ascii="仿宋_GB2312" w:hAnsi="仿宋_GB2312" w:eastAsia="仿宋_GB2312" w:cs="仿宋_GB2312"/>
          <w:kern w:val="2"/>
          <w:sz w:val="28"/>
          <w:szCs w:val="28"/>
          <w:highlight w:val="none"/>
        </w:rPr>
        <w:t>：罚没柴油及汽油为走私油，且分多批次罚没，混合存放，该走私柴油和汽油的硫含量严重超标，不符合成品油要求，存放过程可能会有损耗，质量以实际为准；拍卖人对拍卖标的物数量、质量不负保证义务，均以实物进行交付按照实物现状进行拍卖及移交。该罚没柴油及汽油存在仓储费用共计16万元由买受人承担。移交时买受人需遵守危险化</w:t>
      </w:r>
      <w:bookmarkStart w:id="2" w:name="_GoBack"/>
      <w:bookmarkEnd w:id="2"/>
      <w:r>
        <w:rPr>
          <w:rFonts w:hint="eastAsia" w:ascii="仿宋_GB2312" w:hAnsi="仿宋_GB2312" w:eastAsia="仿宋_GB2312" w:cs="仿宋_GB2312"/>
          <w:kern w:val="2"/>
          <w:sz w:val="28"/>
          <w:szCs w:val="28"/>
          <w:highlight w:val="none"/>
        </w:rPr>
        <w:t>学品的管理规定和相关环保、安全等方面的规定，安排具备危险品运输资质（即危险化学品道路运输或水路运输许可证）的单位和专业人员完成本次拍卖标的的运输工作，所需费用由买受人自行承担，买受人须确保柴油储存、运输和经营过程中遵守相关法律法规。</w:t>
      </w:r>
    </w:p>
    <w:p w14:paraId="037B597E">
      <w:pPr>
        <w:snapToGrid w:val="0"/>
        <w:spacing w:line="44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专场</w:t>
      </w:r>
      <w:r>
        <w:rPr>
          <w:rFonts w:hint="eastAsia" w:ascii="仿宋_GB2312" w:hAnsi="仿宋_GB2312" w:eastAsia="仿宋_GB2312" w:cs="仿宋_GB2312"/>
          <w:sz w:val="28"/>
          <w:szCs w:val="28"/>
          <w:lang w:val="en-US" w:eastAsia="zh-CN"/>
        </w:rPr>
        <w:t>三</w:t>
      </w:r>
      <w:r>
        <w:rPr>
          <w:rFonts w:hint="eastAsia" w:ascii="仿宋_GB2312" w:hAnsi="仿宋_GB2312" w:eastAsia="仿宋_GB2312" w:cs="仿宋_GB2312"/>
          <w:sz w:val="28"/>
          <w:szCs w:val="28"/>
        </w:rPr>
        <w:t>：罚没的三无船舶，一艘存放在汕尾市红海湾遮浪，一艘存放在城区中山渡口（需坐船到对面），拍卖成交后，必须按照如下标的移交、拆解手续办理：</w:t>
      </w:r>
    </w:p>
    <w:p w14:paraId="21F79F7A">
      <w:pPr>
        <w:snapToGrid w:val="0"/>
        <w:spacing w:line="440" w:lineRule="exact"/>
        <w:ind w:firstLine="560" w:firstLineChars="200"/>
        <w:rPr>
          <w:rFonts w:ascii="仿宋_GB2312" w:hAnsi="仿宋_GB2312" w:eastAsia="仿宋_GB2312" w:cs="仿宋_GB2312"/>
          <w:sz w:val="28"/>
          <w:szCs w:val="28"/>
        </w:rPr>
      </w:pPr>
      <w:r>
        <w:rPr>
          <w:rFonts w:hint="eastAsia" w:ascii="宋体" w:hAnsi="宋体"/>
          <w:sz w:val="28"/>
          <w:szCs w:val="28"/>
        </w:rPr>
        <w:t>1</w:t>
      </w:r>
      <w:r>
        <w:rPr>
          <w:rFonts w:hint="eastAsia" w:ascii="仿宋_GB2312" w:hAnsi="仿宋_GB2312" w:eastAsia="仿宋_GB2312" w:cs="仿宋_GB2312"/>
          <w:sz w:val="28"/>
          <w:szCs w:val="28"/>
        </w:rPr>
        <w:t>）买受人</w:t>
      </w:r>
      <w:bookmarkStart w:id="0" w:name="_Hlk115420709"/>
      <w:r>
        <w:rPr>
          <w:rFonts w:hint="eastAsia" w:ascii="仿宋_GB2312" w:hAnsi="仿宋_GB2312" w:eastAsia="仿宋_GB2312" w:cs="仿宋_GB2312"/>
          <w:sz w:val="28"/>
          <w:szCs w:val="28"/>
        </w:rPr>
        <w:t>应在拍卖会结束后次日</w:t>
      </w:r>
      <w:bookmarkEnd w:id="0"/>
      <w:r>
        <w:rPr>
          <w:rFonts w:hint="eastAsia" w:ascii="仿宋_GB2312" w:hAnsi="仿宋_GB2312" w:eastAsia="仿宋_GB2312" w:cs="仿宋_GB2312"/>
          <w:sz w:val="28"/>
          <w:szCs w:val="28"/>
        </w:rPr>
        <w:t>向委托人、拍卖人提交《标的安全移交、拆解承诺书》《拖运方案》。《拖运方案》包括但不限于拖运方式、报航线、批次及人员和船舶信息，《拖运方案》经委托人确认后原则上不能变更。</w:t>
      </w:r>
    </w:p>
    <w:p w14:paraId="33ADD700">
      <w:pPr>
        <w:snapToGrid w:val="0"/>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拖运方案》经委托人确认后，买受人应向拍卖人告知三无船舶移交启动时间，并在签署拍卖标的物交割清单之日起2天内将三无船舶拖离停泊地至拆解场地，逾期产生的保管服务费由买受人自行承担。拍卖标的移交及拆解过程中产生的移船费、清理航道费用、打捞费、拖运费、吊装费、场地垃圾清理费、拆解费、清污费等费用由买受人自行承担。</w:t>
      </w:r>
    </w:p>
    <w:p w14:paraId="2F1DE003">
      <w:pPr>
        <w:snapToGrid w:val="0"/>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3）买受人移交三无船舶的进度要在工作群汇报，包括但不限于文字及视频、图片方式提交，移交出港的三无船舶数量、编号，进、出港手续由买受人按相关规定办理。</w:t>
      </w:r>
    </w:p>
    <w:p w14:paraId="110E8715">
      <w:pPr>
        <w:snapToGrid w:val="0"/>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4）买受人将三无船舶拖或运至拆解场地后3天内拆解完毕，并按照每一块的体积应小于</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米*</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米*</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米的标准进行拆解，每个发动机打孔2个以上或破碎。发动机集中对应船舶编号后，统一销毁。柴油机在缸体主要部位上下或左右打孔两个以上，打孔的钻头直径0</w:t>
      </w:r>
      <w:r>
        <w:rPr>
          <w:rFonts w:ascii="仿宋_GB2312" w:hAnsi="仿宋_GB2312" w:eastAsia="仿宋_GB2312" w:cs="仿宋_GB2312"/>
          <w:sz w:val="28"/>
          <w:szCs w:val="28"/>
        </w:rPr>
        <w:t>.8</w:t>
      </w:r>
      <w:r>
        <w:rPr>
          <w:rFonts w:hint="eastAsia" w:ascii="仿宋_GB2312" w:hAnsi="仿宋_GB2312" w:eastAsia="仿宋_GB2312" w:cs="仿宋_GB2312"/>
          <w:sz w:val="28"/>
          <w:szCs w:val="28"/>
        </w:rPr>
        <w:t>公分以上，深入缸体内壁。汽油发动机用挖机或其他设备砸碎，波箱砸碎或打孔，打孔直径与深度同上。对“大飞”发动机集中实施不可逆、去功能化拆解，对拆解过程全程监管并留存视频图片档案，防止“大飞”发动机及其组件回流市场，拆解须符合环保要求，并自行承担安全责任。</w:t>
      </w:r>
    </w:p>
    <w:p w14:paraId="7560E36D">
      <w:pPr>
        <w:snapToGrid w:val="0"/>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5）买受人在运输和拆解的过程中应聘请具备专业资质的人员，严格按照规定做好船舶拆解的防爆、防火及安全措施；整个拆解过程中买受人须接受委托人的监督，拆解工作应符合相关安全和环保要求，严禁污染环境，严禁将未经拆解处理的船舶移作他用或流入市场，若违规流入市场，依据相关规定追究买受人的法律责任。</w:t>
      </w:r>
    </w:p>
    <w:p w14:paraId="2101D2A6">
      <w:pPr>
        <w:snapToGrid w:val="0"/>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6）</w:t>
      </w:r>
      <w:bookmarkStart w:id="1" w:name="_Hlk101942794"/>
      <w:r>
        <w:rPr>
          <w:rFonts w:hint="eastAsia" w:ascii="仿宋_GB2312" w:hAnsi="仿宋_GB2312" w:eastAsia="仿宋_GB2312" w:cs="仿宋_GB2312"/>
          <w:sz w:val="28"/>
          <w:szCs w:val="28"/>
        </w:rPr>
        <w:t>买受人应对拆解全过程进行监控、视频录像和拍照并用硬盘拷贝，监控及视频录像必须清晰，不得模糊。拆解前、拆解过程及拆解后的图片及视频录像等资料需将船身张贴或喷涂的船舶编号拍摄进内，视频资料以放大后能清晰看见船上张贴或喷涂的船舶编号为标准，发动机打孔或破碎的视频资料不少于1</w:t>
      </w:r>
      <w:r>
        <w:rPr>
          <w:rFonts w:ascii="仿宋_GB2312" w:hAnsi="仿宋_GB2312" w:eastAsia="仿宋_GB2312" w:cs="仿宋_GB2312"/>
          <w:sz w:val="28"/>
          <w:szCs w:val="28"/>
        </w:rPr>
        <w:t>0</w:t>
      </w:r>
      <w:r>
        <w:rPr>
          <w:rFonts w:hint="eastAsia" w:ascii="仿宋_GB2312" w:hAnsi="仿宋_GB2312" w:eastAsia="仿宋_GB2312" w:cs="仿宋_GB2312"/>
          <w:sz w:val="28"/>
          <w:szCs w:val="28"/>
        </w:rPr>
        <w:t>秒，拆解完毕后3天内制作拆解视频及图片资料提交给委托人、拍卖人存档。</w:t>
      </w:r>
      <w:bookmarkEnd w:id="1"/>
    </w:p>
    <w:p w14:paraId="7C334848">
      <w:pPr>
        <w:snapToGrid w:val="0"/>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7）拍卖标的移交、拆解工作完成后，买受人支付的标的履约保证金待全部船舶拆解工作完成并提交拆解视频及图片资料后由委托人签字确认无误后方可退回，如造成委托人损失的则从其交纳的保证金中扣除。</w:t>
      </w:r>
    </w:p>
    <w:p w14:paraId="7323A4BB">
      <w:pPr>
        <w:snapToGrid w:val="0"/>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专场</w:t>
      </w:r>
      <w:r>
        <w:rPr>
          <w:rFonts w:hint="eastAsia" w:ascii="仿宋_GB2312" w:hAnsi="仿宋_GB2312" w:eastAsia="仿宋_GB2312" w:cs="仿宋_GB2312"/>
          <w:sz w:val="28"/>
          <w:szCs w:val="28"/>
          <w:lang w:val="en-US" w:eastAsia="zh-CN"/>
        </w:rPr>
        <w:t>四</w:t>
      </w:r>
      <w:r>
        <w:rPr>
          <w:rFonts w:hint="eastAsia" w:ascii="仿宋_GB2312" w:hAnsi="仿宋_GB2312" w:eastAsia="仿宋_GB2312" w:cs="仿宋_GB2312"/>
          <w:sz w:val="28"/>
          <w:szCs w:val="28"/>
        </w:rPr>
        <w:t>：本批罚没的报废车辆委托人无法出具车辆行驶证、机动车登记证等相关证件，买受人报废车辆后需回传《报废机动车回收证明》后，才可原额无息退回履约保证金。</w:t>
      </w:r>
    </w:p>
    <w:p w14:paraId="3973992A">
      <w:pPr>
        <w:pStyle w:val="10"/>
        <w:shd w:val="clear" w:color="auto" w:fill="FFFFFF"/>
        <w:snapToGrid w:val="0"/>
        <w:spacing w:before="0" w:beforeAutospacing="0" w:after="0" w:afterAutospacing="0" w:line="440" w:lineRule="exact"/>
        <w:ind w:firstLine="641"/>
        <w:jc w:val="both"/>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2、拍卖标的按现场现状拍卖及交付，拍卖以标的现场现状为准，委托人和拍卖人不承担瑕疵担保责任，请慎重决定竞买行为。拍卖人所提供的拍卖资料及标的物的参考信息（包括但不限于标的名称、参数、照片、视频以及标的物的数量、重量、形状、包装、成色、品牌、真伪、规格型号、质感等信息及已知瑕疵说明等），现场标的物实物的信息会存在与参考信息内容不一致的情况，以看货时的现场现状为准，拍卖人提供数据仅供参考。竞买人竞拍前需要自行评估和调查，竞买人放弃核实的权利所产生的的后果由其自行承担。竞买人一旦参与竞价，即表明已完全了解，并接受标的物的现状和一切已知及未知的瑕疵。</w:t>
      </w:r>
    </w:p>
    <w:p w14:paraId="22C7A438">
      <w:pPr>
        <w:pStyle w:val="10"/>
        <w:shd w:val="clear" w:color="auto" w:fill="FFFFFF"/>
        <w:snapToGrid w:val="0"/>
        <w:spacing w:before="0" w:beforeAutospacing="0" w:after="0" w:afterAutospacing="0" w:line="440" w:lineRule="exact"/>
        <w:ind w:firstLine="560" w:firstLineChars="200"/>
        <w:jc w:val="both"/>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3、凡是委托他人代为提货的，货物一旦交付给受托人，即表明货物移交完毕，以后发生的任何风险均与委托人和拍卖人无关。</w:t>
      </w:r>
    </w:p>
    <w:p w14:paraId="5FF3C884">
      <w:pPr>
        <w:pStyle w:val="10"/>
        <w:snapToGrid w:val="0"/>
        <w:spacing w:before="0" w:beforeAutospacing="0" w:after="0" w:afterAutospacing="0" w:line="440" w:lineRule="exact"/>
        <w:ind w:firstLine="560" w:firstLineChars="200"/>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4、若拍卖成交后买受人未能在规定时间办理标的移交的，需要在拍卖成交之日起2日内向拍卖人申请延期移交，逾期或延期后仍不提货的，造成的损失由买受人自行承担。</w:t>
      </w:r>
    </w:p>
    <w:p w14:paraId="2660576E">
      <w:pPr>
        <w:pStyle w:val="10"/>
        <w:shd w:val="clear" w:color="auto" w:fill="FFFFFF"/>
        <w:snapToGrid w:val="0"/>
        <w:spacing w:before="0" w:beforeAutospacing="0" w:after="0" w:afterAutospacing="0" w:line="440" w:lineRule="exact"/>
        <w:ind w:firstLine="640"/>
        <w:jc w:val="both"/>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5、标的属于罚没性质的，没有完整的包装，没有专业检测、不能退换货，不能提供质量三包，没有售后服务。拍卖标的只进行了抽样检测，未按规格型号细分检测，同一项物品可能会存在不同型号规格，均以实物为准，未到现场看货的，收货后如有异议，责任由买受人自行承担。请谨慎参与竞拍。</w:t>
      </w:r>
    </w:p>
    <w:p w14:paraId="5906EAE1">
      <w:pPr>
        <w:pStyle w:val="10"/>
        <w:shd w:val="clear" w:color="auto" w:fill="FFFFFF"/>
        <w:snapToGrid w:val="0"/>
        <w:spacing w:before="0" w:beforeAutospacing="0" w:after="0" w:afterAutospacing="0" w:line="440" w:lineRule="exact"/>
        <w:ind w:firstLine="640"/>
        <w:jc w:val="both"/>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6、买受人逾期不缴纳拍卖成交价款、拍卖佣金及平台服务费，视为买受人放弃该标的物，属于买受人违约，买受人须承担违约责任，且竞买保证金不予退还，同时拍卖人有权对该标的另行处置。</w:t>
      </w:r>
    </w:p>
    <w:p w14:paraId="796DA45C">
      <w:pPr>
        <w:pStyle w:val="10"/>
        <w:shd w:val="clear" w:color="auto" w:fill="FFFFFF"/>
        <w:snapToGrid w:val="0"/>
        <w:spacing w:before="0" w:beforeAutospacing="0" w:after="0" w:afterAutospacing="0" w:line="440" w:lineRule="exact"/>
        <w:ind w:firstLine="640"/>
        <w:jc w:val="both"/>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7、竞拍成交后，委托人无法向买受人开具成交款（含保证金）发票，拍卖人仅开具拍卖佣金发票（成交价的5%）。全拍网平台开具平台服务费发票（成交价的1%）。</w:t>
      </w:r>
    </w:p>
    <w:p w14:paraId="6248E011">
      <w:pPr>
        <w:snapToGrid w:val="0"/>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十二、本次竞拍活动遵循“公开、公平、公正、诚实信用”的原则，具备法律效力。竞买人在竞拍前须详细阅读本《竞买须知》及《拍卖公告》，并自愿遵守各项条款，对自己的竞拍行为承担法律责任。</w:t>
      </w:r>
    </w:p>
    <w:p w14:paraId="1EF67CD6">
      <w:pPr>
        <w:snapToGrid w:val="0"/>
        <w:spacing w:line="440" w:lineRule="exact"/>
        <w:ind w:left="5390" w:leftChars="2300" w:hanging="560" w:hangingChars="200"/>
        <w:jc w:val="left"/>
        <w:rPr>
          <w:rFonts w:ascii="仿宋_GB2312" w:hAnsi="仿宋_GB2312" w:eastAsia="仿宋_GB2312" w:cs="仿宋_GB2312"/>
          <w:sz w:val="28"/>
          <w:szCs w:val="28"/>
        </w:rPr>
      </w:pPr>
    </w:p>
    <w:p w14:paraId="711FDA5B">
      <w:pPr>
        <w:snapToGrid w:val="0"/>
        <w:spacing w:line="440" w:lineRule="exact"/>
        <w:ind w:left="6020" w:leftChars="2600" w:hanging="560" w:hangingChars="200"/>
        <w:jc w:val="left"/>
        <w:rPr>
          <w:rFonts w:ascii="仿宋_GB2312" w:hAnsi="仿宋_GB2312" w:eastAsia="仿宋_GB2312" w:cs="仿宋_GB2312"/>
          <w:color w:val="222222"/>
          <w:kern w:val="0"/>
          <w:sz w:val="28"/>
          <w:szCs w:val="28"/>
        </w:rPr>
      </w:pPr>
      <w:r>
        <w:rPr>
          <w:rFonts w:hint="eastAsia" w:ascii="仿宋_GB2312" w:hAnsi="仿宋_GB2312" w:eastAsia="仿宋_GB2312" w:cs="仿宋_GB2312"/>
          <w:sz w:val="28"/>
          <w:szCs w:val="28"/>
        </w:rPr>
        <w:t xml:space="preserve"> 广东迅兴拍卖有限公司                                          2025年</w:t>
      </w:r>
      <w:r>
        <w:rPr>
          <w:rFonts w:hint="eastAsia" w:ascii="仿宋_GB2312" w:hAnsi="仿宋_GB2312" w:eastAsia="仿宋_GB2312" w:cs="仿宋_GB2312"/>
          <w:sz w:val="28"/>
          <w:szCs w:val="28"/>
          <w:lang w:val="en-US" w:eastAsia="zh-CN"/>
        </w:rPr>
        <w:t>6</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18</w:t>
      </w:r>
      <w:r>
        <w:rPr>
          <w:rFonts w:hint="eastAsia" w:ascii="仿宋_GB2312" w:hAnsi="仿宋_GB2312" w:eastAsia="仿宋_GB2312" w:cs="仿宋_GB2312"/>
          <w:color w:val="000000"/>
          <w:sz w:val="28"/>
          <w:szCs w:val="28"/>
        </w:rPr>
        <w:t>日</w:t>
      </w:r>
    </w:p>
    <w:sectPr>
      <w:pgSz w:w="11906" w:h="16838"/>
      <w:pgMar w:top="1134" w:right="1134" w:bottom="737"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RlNGNmYjdhMjc4N2U0NTYyYjU0YzIyMWQ2OWFlYmEifQ=="/>
    <w:docVar w:name="KSO_WPS_MARK_KEY" w:val="3d9749e6-83b0-4507-8f30-993ac9aef3ee"/>
  </w:docVars>
  <w:rsids>
    <w:rsidRoot w:val="002A3F61"/>
    <w:rsid w:val="000113CD"/>
    <w:rsid w:val="00081831"/>
    <w:rsid w:val="00086613"/>
    <w:rsid w:val="000B3965"/>
    <w:rsid w:val="000B56EE"/>
    <w:rsid w:val="000D036C"/>
    <w:rsid w:val="000D05B7"/>
    <w:rsid w:val="000E4D8C"/>
    <w:rsid w:val="00180660"/>
    <w:rsid w:val="001C0DF0"/>
    <w:rsid w:val="001C6F04"/>
    <w:rsid w:val="001D109D"/>
    <w:rsid w:val="001F7C64"/>
    <w:rsid w:val="00215EE6"/>
    <w:rsid w:val="00223235"/>
    <w:rsid w:val="002366A8"/>
    <w:rsid w:val="002A3464"/>
    <w:rsid w:val="002A3F61"/>
    <w:rsid w:val="002C5493"/>
    <w:rsid w:val="002F2593"/>
    <w:rsid w:val="00315BBF"/>
    <w:rsid w:val="003432DC"/>
    <w:rsid w:val="00351BEC"/>
    <w:rsid w:val="003759A7"/>
    <w:rsid w:val="003C22B7"/>
    <w:rsid w:val="003F1143"/>
    <w:rsid w:val="004018FA"/>
    <w:rsid w:val="0042082A"/>
    <w:rsid w:val="00424A23"/>
    <w:rsid w:val="004535BD"/>
    <w:rsid w:val="00482E97"/>
    <w:rsid w:val="00492ED2"/>
    <w:rsid w:val="0049308F"/>
    <w:rsid w:val="00495797"/>
    <w:rsid w:val="004A5CD1"/>
    <w:rsid w:val="004A66D3"/>
    <w:rsid w:val="00527CC7"/>
    <w:rsid w:val="005949B4"/>
    <w:rsid w:val="005A08D4"/>
    <w:rsid w:val="005B1218"/>
    <w:rsid w:val="005B3F9F"/>
    <w:rsid w:val="005D3B22"/>
    <w:rsid w:val="005E7F17"/>
    <w:rsid w:val="00642C76"/>
    <w:rsid w:val="006603A1"/>
    <w:rsid w:val="006C1B6F"/>
    <w:rsid w:val="006D728C"/>
    <w:rsid w:val="006E04AE"/>
    <w:rsid w:val="006E7374"/>
    <w:rsid w:val="006F416C"/>
    <w:rsid w:val="007722CD"/>
    <w:rsid w:val="007A241B"/>
    <w:rsid w:val="007B408B"/>
    <w:rsid w:val="007C03D6"/>
    <w:rsid w:val="007D5E6D"/>
    <w:rsid w:val="008052F2"/>
    <w:rsid w:val="008253E4"/>
    <w:rsid w:val="00852A38"/>
    <w:rsid w:val="00886549"/>
    <w:rsid w:val="008E16CB"/>
    <w:rsid w:val="008F2EEC"/>
    <w:rsid w:val="00910C8B"/>
    <w:rsid w:val="00914E5B"/>
    <w:rsid w:val="00956DB7"/>
    <w:rsid w:val="00960EAE"/>
    <w:rsid w:val="0096492D"/>
    <w:rsid w:val="009955F9"/>
    <w:rsid w:val="009A42C8"/>
    <w:rsid w:val="00A10445"/>
    <w:rsid w:val="00A557BD"/>
    <w:rsid w:val="00A65830"/>
    <w:rsid w:val="00AA7D99"/>
    <w:rsid w:val="00AC23F1"/>
    <w:rsid w:val="00AE18B0"/>
    <w:rsid w:val="00AE6598"/>
    <w:rsid w:val="00AF2960"/>
    <w:rsid w:val="00AF4426"/>
    <w:rsid w:val="00B37977"/>
    <w:rsid w:val="00B6155C"/>
    <w:rsid w:val="00B62030"/>
    <w:rsid w:val="00B71D47"/>
    <w:rsid w:val="00B92568"/>
    <w:rsid w:val="00BB40E9"/>
    <w:rsid w:val="00BB770E"/>
    <w:rsid w:val="00BD3CC2"/>
    <w:rsid w:val="00C02F34"/>
    <w:rsid w:val="00C050AA"/>
    <w:rsid w:val="00C36AE4"/>
    <w:rsid w:val="00C74093"/>
    <w:rsid w:val="00D071E9"/>
    <w:rsid w:val="00D134D8"/>
    <w:rsid w:val="00D826FB"/>
    <w:rsid w:val="00DA0235"/>
    <w:rsid w:val="00DC36FB"/>
    <w:rsid w:val="00DE56D8"/>
    <w:rsid w:val="00DE6F7C"/>
    <w:rsid w:val="00DF5245"/>
    <w:rsid w:val="00E03FC1"/>
    <w:rsid w:val="00E35EDB"/>
    <w:rsid w:val="00E8348C"/>
    <w:rsid w:val="00ED4555"/>
    <w:rsid w:val="00EE4E28"/>
    <w:rsid w:val="00F225BA"/>
    <w:rsid w:val="00F34A44"/>
    <w:rsid w:val="00F54AF8"/>
    <w:rsid w:val="00F555DC"/>
    <w:rsid w:val="00FD60BE"/>
    <w:rsid w:val="00FF2044"/>
    <w:rsid w:val="00FF25DB"/>
    <w:rsid w:val="033121FD"/>
    <w:rsid w:val="0ABA0B2A"/>
    <w:rsid w:val="1DF5EA99"/>
    <w:rsid w:val="237A4389"/>
    <w:rsid w:val="25CB19ED"/>
    <w:rsid w:val="2AB72F73"/>
    <w:rsid w:val="39E689A1"/>
    <w:rsid w:val="45613BFB"/>
    <w:rsid w:val="47FB6FF1"/>
    <w:rsid w:val="485B2E7C"/>
    <w:rsid w:val="53522541"/>
    <w:rsid w:val="55175E76"/>
    <w:rsid w:val="57F57DCD"/>
    <w:rsid w:val="5F41673E"/>
    <w:rsid w:val="5FAD3B68"/>
    <w:rsid w:val="603D01F0"/>
    <w:rsid w:val="64AE47C4"/>
    <w:rsid w:val="66DE4DB6"/>
    <w:rsid w:val="68B55FD1"/>
    <w:rsid w:val="73E719CE"/>
    <w:rsid w:val="77995AED"/>
    <w:rsid w:val="7ABFC73B"/>
    <w:rsid w:val="7FFC96FA"/>
    <w:rsid w:val="7FFD000B"/>
    <w:rsid w:val="DFF98981"/>
    <w:rsid w:val="FDFCB72E"/>
    <w:rsid w:val="FFFF82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autoRedefine/>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autoRedefine/>
    <w:unhideWhenUsed/>
    <w:qFormat/>
    <w:uiPriority w:val="99"/>
    <w:pPr>
      <w:spacing w:before="100" w:beforeAutospacing="1" w:after="100" w:afterAutospacing="1"/>
      <w:jc w:val="left"/>
    </w:pPr>
    <w:rPr>
      <w:kern w:val="0"/>
      <w:sz w:val="24"/>
    </w:rPr>
  </w:style>
  <w:style w:type="character" w:styleId="7">
    <w:name w:val="Hyperlink"/>
    <w:basedOn w:val="6"/>
    <w:autoRedefine/>
    <w:unhideWhenUsed/>
    <w:qFormat/>
    <w:uiPriority w:val="99"/>
    <w:rPr>
      <w:color w:val="0563C1" w:themeColor="hyperlink"/>
      <w:u w:val="single"/>
      <w14:textFill>
        <w14:solidFill>
          <w14:schemeClr w14:val="hlink"/>
        </w14:solidFill>
      </w14:textFill>
    </w:rPr>
  </w:style>
  <w:style w:type="character" w:customStyle="1" w:styleId="8">
    <w:name w:val="页眉 字符"/>
    <w:basedOn w:val="6"/>
    <w:link w:val="3"/>
    <w:autoRedefine/>
    <w:qFormat/>
    <w:uiPriority w:val="99"/>
    <w:rPr>
      <w:sz w:val="18"/>
      <w:szCs w:val="18"/>
    </w:rPr>
  </w:style>
  <w:style w:type="character" w:customStyle="1" w:styleId="9">
    <w:name w:val="页脚 字符"/>
    <w:basedOn w:val="6"/>
    <w:link w:val="2"/>
    <w:autoRedefine/>
    <w:qFormat/>
    <w:uiPriority w:val="99"/>
    <w:rPr>
      <w:sz w:val="18"/>
      <w:szCs w:val="18"/>
    </w:rPr>
  </w:style>
  <w:style w:type="paragraph" w:customStyle="1" w:styleId="10">
    <w:name w:val="普通(网站)1"/>
    <w:basedOn w:val="1"/>
    <w:autoRedefine/>
    <w:qFormat/>
    <w:uiPriority w:val="0"/>
    <w:pPr>
      <w:widowControl/>
      <w:spacing w:before="100" w:beforeAutospacing="1" w:after="100" w:afterAutospacing="1"/>
      <w:jc w:val="left"/>
    </w:pPr>
    <w:rPr>
      <w:rFonts w:ascii="宋体" w:hAnsi="宋体" w:cs="宋体"/>
      <w:kern w:val="0"/>
      <w:sz w:val="24"/>
    </w:rPr>
  </w:style>
  <w:style w:type="character" w:customStyle="1" w:styleId="11">
    <w:name w:val="awspan"/>
    <w:basedOn w:val="6"/>
    <w:autoRedefine/>
    <w:qFormat/>
    <w:uiPriority w:val="0"/>
  </w:style>
  <w:style w:type="paragraph" w:customStyle="1" w:styleId="12">
    <w:name w:val="修订1"/>
    <w:autoRedefine/>
    <w:hidden/>
    <w:semiHidden/>
    <w:qFormat/>
    <w:uiPriority w:val="99"/>
    <w:rPr>
      <w:rFonts w:ascii="Calibri" w:hAnsi="Calibri" w:eastAsia="宋体" w:cs="Times New Roman"/>
      <w:kern w:val="2"/>
      <w:sz w:val="21"/>
      <w:lang w:val="en-US" w:eastAsia="zh-CN" w:bidi="ar-SA"/>
    </w:rPr>
  </w:style>
  <w:style w:type="paragraph" w:customStyle="1" w:styleId="13">
    <w:name w:val="修订2"/>
    <w:autoRedefine/>
    <w:hidden/>
    <w:semiHidden/>
    <w:qFormat/>
    <w:uiPriority w:val="99"/>
    <w:rPr>
      <w:rFonts w:ascii="Calibri" w:hAnsi="Calibri" w:eastAsia="宋体" w:cs="Times New Roman"/>
      <w:kern w:val="2"/>
      <w:sz w:val="21"/>
      <w:lang w:val="en-US" w:eastAsia="zh-CN" w:bidi="ar-SA"/>
    </w:rPr>
  </w:style>
  <w:style w:type="paragraph" w:customStyle="1" w:styleId="14">
    <w:name w:val="修订3"/>
    <w:autoRedefine/>
    <w:hidden/>
    <w:semiHidden/>
    <w:qFormat/>
    <w:uiPriority w:val="99"/>
    <w:rPr>
      <w:rFonts w:ascii="Calibri" w:hAnsi="Calibri" w:eastAsia="宋体" w:cs="Times New Roman"/>
      <w:kern w:val="2"/>
      <w:sz w:val="21"/>
      <w:lang w:val="en-US" w:eastAsia="zh-CN" w:bidi="ar-SA"/>
    </w:rPr>
  </w:style>
  <w:style w:type="character" w:customStyle="1" w:styleId="15">
    <w:name w:val="未处理的提及1"/>
    <w:basedOn w:val="6"/>
    <w:autoRedefine/>
    <w:semiHidden/>
    <w:unhideWhenUsed/>
    <w:qFormat/>
    <w:uiPriority w:val="99"/>
    <w:rPr>
      <w:color w:val="605E5C"/>
      <w:shd w:val="clear" w:color="auto" w:fill="E1DFDD"/>
    </w:rPr>
  </w:style>
  <w:style w:type="paragraph" w:customStyle="1" w:styleId="16">
    <w:name w:val="Revision"/>
    <w:hidden/>
    <w:unhideWhenUsed/>
    <w:qFormat/>
    <w:uiPriority w:val="99"/>
    <w:rPr>
      <w:rFonts w:ascii="Calibri" w:hAnsi="Calibri"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3483</Words>
  <Characters>3518</Characters>
  <Lines>27</Lines>
  <Paragraphs>7</Paragraphs>
  <TotalTime>60</TotalTime>
  <ScaleCrop>false</ScaleCrop>
  <LinksUpToDate>false</LinksUpToDate>
  <CharactersWithSpaces>3569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2025-01-17T04:53:00Z</dcterms:created>
  <dc:creator>Administrator</dc:creator>
  <cp:lastModifiedBy>a_Mr_胡</cp:lastModifiedBy>
  <dcterms:modified xsi:type="dcterms:W3CDTF">2025-06-18T02:09:23Z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9B927AB357224E4096A50C02E75AACFA_13</vt:lpwstr>
  </property>
  <property fmtid="{D5CDD505-2E9C-101B-9397-08002B2CF9AE}" pid="4" name="KSOTemplateDocerSaveRecord">
    <vt:lpwstr>eyJoZGlkIjoiZGRlNGNmYjdhMjc4N2U0NTYyYjU0YzIyMWQ2OWFlYmEiLCJ1c2VySWQiOiI4MDc1NTM1NjgifQ==</vt:lpwstr>
  </property>
</Properties>
</file>