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特 别 说 明</w:t>
      </w:r>
    </w:p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snapToGrid w:val="0"/>
        <w:spacing w:line="440" w:lineRule="atLeast"/>
        <w:ind w:firstLine="562" w:firstLineChars="200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2021年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洪湖公园赏花季配</w:t>
      </w:r>
      <w:r>
        <w:rPr>
          <w:rFonts w:hint="eastAsia" w:ascii="宋体" w:hAnsi="宋体"/>
          <w:b/>
          <w:bCs/>
          <w:sz w:val="28"/>
          <w:szCs w:val="28"/>
        </w:rPr>
        <w:t>套餐饮和花集、文创铺位服务使用权，配套餐饮服务使用权3处共5个铺位，花集、文创铺位服务使用权各2个，共计铺位服务使用权9个。</w:t>
      </w:r>
    </w:p>
    <w:p>
      <w:pPr>
        <w:snapToGrid w:val="0"/>
        <w:spacing w:line="440" w:lineRule="atLeast"/>
        <w:ind w:firstLine="562" w:firstLineChars="200"/>
        <w:rPr>
          <w:rFonts w:hint="eastAsia" w:ascii="宋体" w:hAnsi="宋体"/>
          <w:b/>
          <w:bCs/>
          <w:sz w:val="28"/>
          <w:szCs w:val="28"/>
        </w:rPr>
      </w:pPr>
    </w:p>
    <w:p>
      <w:pPr>
        <w:snapToGrid w:val="0"/>
        <w:spacing w:line="440" w:lineRule="atLeast"/>
        <w:ind w:firstLine="562" w:firstLineChars="200"/>
        <w:rPr>
          <w:rFonts w:hint="eastAsia" w:ascii="宋体" w:hAnsi="宋体" w:cs="Tahoma"/>
          <w:bCs/>
          <w:kern w:val="0"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1、A、B、C区配套餐饮铺位</w:t>
      </w:r>
      <w:r>
        <w:rPr>
          <w:rFonts w:hint="eastAsia" w:ascii="宋体" w:hAnsi="宋体"/>
          <w:sz w:val="28"/>
          <w:szCs w:val="28"/>
        </w:rPr>
        <w:t>：2021年</w:t>
      </w:r>
      <w:r>
        <w:rPr>
          <w:rFonts w:hint="eastAsia" w:ascii="宋体" w:hAnsi="宋体"/>
          <w:sz w:val="28"/>
          <w:szCs w:val="28"/>
          <w:lang w:val="en-US" w:eastAsia="zh-CN"/>
        </w:rPr>
        <w:t>洪湖公园赏花季</w:t>
      </w:r>
      <w:r>
        <w:rPr>
          <w:rFonts w:hint="eastAsia" w:ascii="宋体" w:hAnsi="宋体"/>
          <w:sz w:val="28"/>
          <w:szCs w:val="28"/>
        </w:rPr>
        <w:t>配套餐饮服务共3处5个铺位，铺位规格为4米*4米</w:t>
      </w:r>
      <w:r>
        <w:rPr>
          <w:rFonts w:hint="eastAsia" w:ascii="宋体" w:hAnsi="宋体" w:cs="Tahoma"/>
          <w:bCs/>
          <w:kern w:val="0"/>
          <w:sz w:val="28"/>
          <w:szCs w:val="28"/>
        </w:rPr>
        <w:t>。具体铺位为：A区A1、A2配套餐饮铺位2个（位于荷仙岛东入口）；B区B1、B2配套餐饮铺位2个（位于流露亭对面静逸湖湖边），每个铺位配备3套遮阳伞、3套一桌4椅的休闲桌椅；C区C1配套餐饮铺位1个（位于绿天坪精品园内）配备4套遮阳伞、4套一桌4椅的休闲桌椅。</w:t>
      </w:r>
    </w:p>
    <w:p>
      <w:pPr>
        <w:snapToGrid w:val="0"/>
        <w:spacing w:line="440" w:lineRule="atLeast"/>
        <w:ind w:firstLine="562" w:firstLineChars="200"/>
        <w:rPr>
          <w:rFonts w:ascii="宋体" w:hAnsi="宋体"/>
          <w:bCs/>
          <w:sz w:val="28"/>
          <w:szCs w:val="28"/>
        </w:rPr>
      </w:pPr>
      <w:r>
        <w:rPr>
          <w:rFonts w:ascii="宋体" w:hAnsi="宋体" w:cs="宋体"/>
          <w:b/>
          <w:bCs/>
          <w:kern w:val="0"/>
          <w:sz w:val="28"/>
          <w:szCs w:val="28"/>
        </w:rPr>
        <w:t>2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>、</w:t>
      </w:r>
      <w:r>
        <w:rPr>
          <w:rFonts w:hint="eastAsia" w:ascii="宋体" w:hAnsi="宋体"/>
          <w:b/>
          <w:sz w:val="28"/>
          <w:szCs w:val="28"/>
        </w:rPr>
        <w:t>D区花集、文创铺位：</w:t>
      </w:r>
      <w:r>
        <w:rPr>
          <w:rFonts w:hint="eastAsia" w:ascii="宋体" w:hAnsi="宋体"/>
          <w:sz w:val="28"/>
          <w:szCs w:val="28"/>
        </w:rPr>
        <w:t>2021年</w:t>
      </w:r>
      <w:r>
        <w:rPr>
          <w:rFonts w:hint="eastAsia" w:ascii="宋体" w:hAnsi="宋体"/>
          <w:sz w:val="28"/>
          <w:szCs w:val="28"/>
          <w:lang w:val="en-US" w:eastAsia="zh-CN"/>
        </w:rPr>
        <w:t>洪湖公园赏花季</w:t>
      </w:r>
      <w:r>
        <w:rPr>
          <w:rFonts w:hint="eastAsia" w:ascii="宋体" w:hAnsi="宋体"/>
          <w:sz w:val="28"/>
          <w:szCs w:val="28"/>
        </w:rPr>
        <w:t>花集（D1、D2）、文创铺位（D3、D4）服务使用权各2个，共4个</w:t>
      </w:r>
      <w:r>
        <w:rPr>
          <w:rFonts w:hint="eastAsia" w:ascii="宋体" w:hAnsi="宋体"/>
          <w:sz w:val="28"/>
          <w:szCs w:val="28"/>
          <w:lang w:val="en-US" w:eastAsia="zh-CN"/>
        </w:rPr>
        <w:t>(位于绿天坪榕树广场）</w:t>
      </w:r>
      <w:r>
        <w:rPr>
          <w:rFonts w:hint="eastAsia" w:ascii="宋体" w:hAnsi="宋体"/>
          <w:sz w:val="28"/>
          <w:szCs w:val="28"/>
        </w:rPr>
        <w:t>，铺位规格3米*3米。</w:t>
      </w:r>
    </w:p>
    <w:p>
      <w:pPr>
        <w:snapToGrid w:val="0"/>
        <w:spacing w:line="440" w:lineRule="atLeast"/>
        <w:ind w:firstLine="560" w:firstLineChars="20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花集铺位服务定位：花卉、园艺、</w:t>
      </w:r>
      <w:r>
        <w:rPr>
          <w:rFonts w:hint="eastAsia" w:ascii="宋体" w:hAnsi="宋体"/>
          <w:sz w:val="28"/>
          <w:szCs w:val="28"/>
        </w:rPr>
        <w:t>鲜切花、小型观赏植物、多肉植物、花种、立体绿化系统、无土栽培等；</w:t>
      </w:r>
    </w:p>
    <w:p>
      <w:pPr>
        <w:snapToGrid w:val="0"/>
        <w:spacing w:line="440" w:lineRule="atLeas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文创铺位服务定位：手工艺品（含植物标本）、干花及文创产品等类别。</w:t>
      </w:r>
    </w:p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snapToGrid w:val="0"/>
        <w:spacing w:line="440" w:lineRule="atLeast"/>
        <w:ind w:firstLine="560" w:firstLineChars="200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 w:cs="Tahoma"/>
          <w:bCs/>
          <w:kern w:val="0"/>
          <w:sz w:val="28"/>
          <w:szCs w:val="28"/>
        </w:rPr>
        <w:t>所有铺位帐篷、遮阳伞、配套的桌椅均由</w:t>
      </w:r>
      <w:r>
        <w:rPr>
          <w:rFonts w:hint="eastAsia" w:ascii="宋体" w:hAnsi="宋体" w:cs="Tahoma"/>
          <w:bCs/>
          <w:kern w:val="0"/>
          <w:sz w:val="28"/>
          <w:szCs w:val="28"/>
          <w:lang w:val="en-US" w:eastAsia="zh-CN"/>
        </w:rPr>
        <w:t>赏花季</w:t>
      </w:r>
      <w:bookmarkStart w:id="0" w:name="_GoBack"/>
      <w:bookmarkEnd w:id="0"/>
      <w:r>
        <w:rPr>
          <w:rFonts w:hint="eastAsia" w:ascii="宋体" w:hAnsi="宋体" w:cs="Tahoma"/>
          <w:bCs/>
          <w:kern w:val="0"/>
          <w:sz w:val="28"/>
          <w:szCs w:val="28"/>
        </w:rPr>
        <w:t>布展方提供，帐篷的搭建由商家自行搭建；商家不得自行增加与花展设计外观不一致的帐篷、阳伞和配套的桌椅。铺位内的装饰均由商家自行装饰；</w:t>
      </w:r>
      <w:r>
        <w:rPr>
          <w:rFonts w:hint="eastAsia" w:ascii="宋体" w:hAnsi="宋体" w:cs="Tahoma"/>
          <w:b/>
          <w:bCs w:val="0"/>
          <w:kern w:val="0"/>
          <w:sz w:val="28"/>
          <w:szCs w:val="28"/>
        </w:rPr>
        <w:t>经营期间，深圳市洪湖公园仅提供电源接口，电源接口到铺位之间</w:t>
      </w:r>
      <w:r>
        <w:rPr>
          <w:rFonts w:hint="eastAsia" w:ascii="宋体" w:hAnsi="宋体" w:cs="Tahoma"/>
          <w:b/>
          <w:bCs w:val="0"/>
          <w:color w:val="000000"/>
          <w:kern w:val="0"/>
          <w:sz w:val="28"/>
          <w:szCs w:val="28"/>
        </w:rPr>
        <w:t>的电线及施工均由商家自行解决</w:t>
      </w:r>
      <w:r>
        <w:rPr>
          <w:rFonts w:hint="eastAsia" w:ascii="宋体" w:hAnsi="宋体" w:cs="Tahoma"/>
          <w:b/>
          <w:bCs w:val="0"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ascii="宋体" w:hAnsi="宋体" w:cs="Tahoma"/>
          <w:b/>
          <w:bCs w:val="0"/>
          <w:color w:val="000000"/>
          <w:kern w:val="0"/>
          <w:sz w:val="28"/>
          <w:szCs w:val="28"/>
          <w:lang w:val="en-US" w:eastAsia="zh-CN"/>
        </w:rPr>
        <w:t>电源接口到铺位之间的距离大约100米</w:t>
      </w:r>
      <w:r>
        <w:rPr>
          <w:rFonts w:hint="eastAsia" w:ascii="宋体" w:hAnsi="宋体" w:cs="Tahoma"/>
          <w:b/>
          <w:bCs w:val="0"/>
          <w:color w:val="000000"/>
          <w:kern w:val="0"/>
          <w:sz w:val="28"/>
          <w:szCs w:val="28"/>
        </w:rPr>
        <w:t>。经营期间</w:t>
      </w:r>
      <w:r>
        <w:rPr>
          <w:rFonts w:hint="eastAsia" w:ascii="宋体" w:hAnsi="宋体"/>
          <w:b/>
          <w:bCs w:val="0"/>
          <w:color w:val="000000"/>
          <w:sz w:val="28"/>
          <w:szCs w:val="28"/>
        </w:rPr>
        <w:t>不提供饮用水，请有需要的商家自备。</w:t>
      </w:r>
      <w:r>
        <w:rPr>
          <w:rFonts w:hint="eastAsia" w:ascii="宋体" w:hAnsi="宋体" w:cs="Tahoma"/>
          <w:b/>
          <w:kern w:val="0"/>
          <w:sz w:val="28"/>
          <w:szCs w:val="28"/>
        </w:rPr>
        <w:t>所有商家对铺位的搭建需符合国家相关安全规定，由此引发的所有责任、问题、损失均由商家（买受人）承担。</w:t>
      </w:r>
    </w:p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snapToGrid w:val="0"/>
        <w:spacing w:line="440" w:lineRule="atLeast"/>
        <w:ind w:firstLine="560" w:firstLineChars="200"/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bCs/>
          <w:color w:val="000000"/>
          <w:sz w:val="28"/>
          <w:szCs w:val="28"/>
        </w:rPr>
        <w:t>参加竞拍的商家需在2021年6月2日前到我司购买拍卖文件（售后不退）并提交铺位设计方案和纸质报名资料（一式两份），</w:t>
      </w:r>
      <w:r>
        <w:rPr>
          <w:rFonts w:hint="eastAsia" w:ascii="宋体" w:hAnsi="宋体"/>
          <w:color w:val="000000"/>
          <w:sz w:val="28"/>
          <w:szCs w:val="28"/>
        </w:rPr>
        <w:t>审核通过的竞买人应在拍卖开始前，在全拍网实名认证并在线缴纳竞买保证金参与竞拍。</w:t>
      </w:r>
    </w:p>
    <w:p>
      <w:pPr>
        <w:snapToGrid w:val="0"/>
        <w:spacing w:line="440" w:lineRule="atLeast"/>
        <w:ind w:firstLine="64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000000"/>
          <w:spacing w:val="20"/>
          <w:kern w:val="10"/>
          <w:sz w:val="28"/>
          <w:szCs w:val="28"/>
        </w:rPr>
        <w:t>1、D区</w:t>
      </w:r>
      <w:r>
        <w:rPr>
          <w:rFonts w:hint="eastAsia" w:ascii="宋体" w:hAnsi="宋体"/>
          <w:color w:val="000000"/>
          <w:sz w:val="28"/>
          <w:szCs w:val="28"/>
        </w:rPr>
        <w:t>花集铺位、文创铺位服务需提交资料：</w:t>
      </w:r>
    </w:p>
    <w:p>
      <w:pPr>
        <w:snapToGrid w:val="0"/>
        <w:spacing w:line="440" w:lineRule="atLeast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1）营业执照；</w:t>
      </w:r>
    </w:p>
    <w:p>
      <w:pPr>
        <w:snapToGrid w:val="0"/>
        <w:spacing w:line="440" w:lineRule="atLeas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2）法人代表证明书、法人身份证复印件；</w:t>
      </w:r>
    </w:p>
    <w:p>
      <w:pPr>
        <w:snapToGrid w:val="0"/>
        <w:spacing w:line="440" w:lineRule="atLeast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hint="eastAsia" w:ascii="宋体" w:hAnsi="宋体"/>
          <w:sz w:val="28"/>
          <w:szCs w:val="28"/>
        </w:rPr>
        <w:t>）法人授权委托书、授权人身份证复印件；</w:t>
      </w:r>
    </w:p>
    <w:p>
      <w:pPr>
        <w:snapToGrid w:val="0"/>
        <w:spacing w:line="440" w:lineRule="atLeast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hint="eastAsia" w:ascii="宋体" w:hAnsi="宋体" w:cs="宋体"/>
          <w:bCs/>
          <w:color w:val="000000"/>
          <w:sz w:val="28"/>
          <w:szCs w:val="28"/>
          <w:lang w:val="en-US" w:eastAsia="zh-CN"/>
        </w:rPr>
        <w:t>提供</w:t>
      </w:r>
      <w:r>
        <w:rPr>
          <w:rFonts w:hint="eastAsia" w:ascii="宋体" w:hAnsi="宋体" w:cs="宋体"/>
          <w:bCs/>
          <w:color w:val="000000"/>
          <w:sz w:val="28"/>
          <w:szCs w:val="28"/>
        </w:rPr>
        <w:t>过去三年内经营活动中未出现违规违法等不良记录(需提供（1）“信用中国”中是否被列入“失信被执行人名单”、“重大税收违法案件当事人名单”、“政府采购严重违法失信名单”查询结果截图加盖章投标人公章；</w:t>
      </w:r>
    </w:p>
    <w:p>
      <w:pPr>
        <w:snapToGrid w:val="0"/>
        <w:spacing w:line="440" w:lineRule="atLeas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hint="eastAsia" w:ascii="宋体" w:hAnsi="宋体"/>
          <w:sz w:val="28"/>
          <w:szCs w:val="28"/>
        </w:rPr>
        <w:t>）经营方案（包括经营内容、产品图片和现场效果图）；</w:t>
      </w:r>
    </w:p>
    <w:p>
      <w:pPr>
        <w:snapToGrid w:val="0"/>
        <w:spacing w:line="440" w:lineRule="atLeast"/>
        <w:ind w:firstLine="560" w:firstLineChars="200"/>
        <w:rPr>
          <w:rFonts w:hint="eastAsia" w:ascii="宋体" w:hAnsi="宋体" w:eastAsiaTheme="minorEastAsia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6）提供网络竞买承诺书</w:t>
      </w:r>
    </w:p>
    <w:p>
      <w:pPr>
        <w:snapToGrid w:val="0"/>
        <w:spacing w:line="440" w:lineRule="atLeas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2、A、</w:t>
      </w:r>
      <w:r>
        <w:rPr>
          <w:rFonts w:ascii="宋体" w:hAnsi="宋体"/>
          <w:sz w:val="28"/>
          <w:szCs w:val="28"/>
        </w:rPr>
        <w:t>B</w:t>
      </w:r>
      <w:r>
        <w:rPr>
          <w:rFonts w:hint="eastAsia" w:ascii="宋体" w:hAnsi="宋体"/>
          <w:sz w:val="28"/>
          <w:szCs w:val="28"/>
        </w:rPr>
        <w:t>、</w:t>
      </w:r>
      <w:r>
        <w:rPr>
          <w:rFonts w:ascii="宋体" w:hAnsi="宋体"/>
          <w:sz w:val="28"/>
          <w:szCs w:val="28"/>
        </w:rPr>
        <w:t>C</w:t>
      </w:r>
      <w:r>
        <w:rPr>
          <w:rFonts w:hint="eastAsia" w:ascii="宋体" w:hAnsi="宋体"/>
          <w:sz w:val="28"/>
          <w:szCs w:val="28"/>
        </w:rPr>
        <w:t>区配套餐饮铺位服务需提交资料：</w:t>
      </w:r>
    </w:p>
    <w:p>
      <w:pPr>
        <w:snapToGrid w:val="0"/>
        <w:spacing w:line="440" w:lineRule="atLeas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1）营业执照；</w:t>
      </w:r>
    </w:p>
    <w:p>
      <w:pPr>
        <w:snapToGrid w:val="0"/>
        <w:spacing w:line="440" w:lineRule="atLeas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2）法人代表证明书、法人身份证复印件；</w:t>
      </w:r>
    </w:p>
    <w:p>
      <w:pPr>
        <w:snapToGrid w:val="0"/>
        <w:spacing w:line="440" w:lineRule="atLeas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3）法人授权委托书、授权人身份证复印件；</w:t>
      </w:r>
    </w:p>
    <w:p>
      <w:pPr>
        <w:snapToGrid w:val="0"/>
        <w:spacing w:line="440" w:lineRule="atLeast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hint="eastAsia" w:ascii="宋体" w:hAnsi="宋体" w:cs="宋体"/>
          <w:bCs/>
          <w:color w:val="000000"/>
          <w:sz w:val="28"/>
          <w:szCs w:val="28"/>
          <w:lang w:val="en-US" w:eastAsia="zh-CN"/>
        </w:rPr>
        <w:t>提供</w:t>
      </w:r>
      <w:r>
        <w:rPr>
          <w:rFonts w:hint="eastAsia" w:ascii="宋体" w:hAnsi="宋体" w:cs="宋体"/>
          <w:bCs/>
          <w:color w:val="000000"/>
          <w:sz w:val="28"/>
          <w:szCs w:val="28"/>
        </w:rPr>
        <w:t>过去三年内经营活动中未出现违规违法等不良记录(需提供（1）“信用中国”中是否被列入“失信被执行人名单”、“重大税收违法案件当事人名单”、“政府采购严重违法失信名单”查询结果截图加盖章投标人公章；</w:t>
      </w:r>
    </w:p>
    <w:p>
      <w:pPr>
        <w:snapToGrid w:val="0"/>
        <w:spacing w:line="440" w:lineRule="atLeas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5）经营方案（包括经营内容、产品图片和现场效果图）；</w:t>
      </w:r>
    </w:p>
    <w:p>
      <w:pPr>
        <w:snapToGrid w:val="0"/>
        <w:spacing w:line="440" w:lineRule="atLeas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6）提供食品经营许可证；</w:t>
      </w:r>
    </w:p>
    <w:p>
      <w:pPr>
        <w:snapToGrid w:val="0"/>
        <w:spacing w:line="440" w:lineRule="atLeas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7）提供已购买的食品安全险、第三方责任险证明；</w:t>
      </w:r>
    </w:p>
    <w:p>
      <w:pPr>
        <w:snapToGrid w:val="0"/>
        <w:spacing w:line="440" w:lineRule="atLeas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8）在深圳市区连锁店规模达到20家以上（加盟店须总公司出具授权意见），提供连锁店地址名单；</w:t>
      </w:r>
    </w:p>
    <w:p>
      <w:pPr>
        <w:snapToGrid w:val="0"/>
        <w:spacing w:line="440" w:lineRule="atLeas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9）提供入场时使用的设备清单及本次花展经营的设备用电瓦数；</w:t>
      </w:r>
    </w:p>
    <w:p>
      <w:pPr>
        <w:snapToGrid w:val="0"/>
        <w:spacing w:line="440" w:lineRule="atLeast"/>
        <w:ind w:firstLine="560" w:firstLineChars="20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10）提供网络竞买承诺书</w:t>
      </w:r>
    </w:p>
    <w:p>
      <w:pPr>
        <w:snapToGrid w:val="0"/>
        <w:spacing w:line="440" w:lineRule="atLeast"/>
        <w:ind w:firstLine="560" w:firstLineChars="200"/>
        <w:rPr>
          <w:rFonts w:hint="eastAsia" w:ascii="宋体" w:hAnsi="宋体"/>
          <w:sz w:val="28"/>
          <w:szCs w:val="28"/>
          <w:lang w:val="en-US" w:eastAsia="zh-CN"/>
        </w:rPr>
      </w:pPr>
    </w:p>
    <w:p>
      <w:pPr>
        <w:snapToGrid w:val="0"/>
        <w:spacing w:line="440" w:lineRule="atLeast"/>
        <w:ind w:firstLine="562" w:firstLineChars="200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特别提示：</w:t>
      </w:r>
      <w:r>
        <w:rPr>
          <w:rFonts w:hint="eastAsia" w:ascii="宋体" w:eastAsia="宋体" w:cs="宋体"/>
          <w:b/>
          <w:color w:val="000000"/>
          <w:sz w:val="28"/>
          <w:szCs w:val="28"/>
        </w:rPr>
        <w:t>买受人应充分考虑天气等因素对经营造成的影响，买受人对因此造成的风险和损失自行承担责任</w:t>
      </w:r>
      <w:r>
        <w:rPr>
          <w:rFonts w:hint="eastAsia" w:ascii="宋体" w:eastAsia="宋体" w:cs="宋体"/>
          <w:b/>
          <w:color w:val="000000"/>
          <w:sz w:val="28"/>
          <w:szCs w:val="28"/>
          <w:lang w:eastAsia="zh-CN"/>
        </w:rPr>
        <w:t>。</w:t>
      </w:r>
      <w:r>
        <w:rPr>
          <w:rFonts w:hint="eastAsia" w:ascii="宋体" w:hAnsi="宋体"/>
          <w:b/>
          <w:bCs/>
          <w:sz w:val="28"/>
          <w:szCs w:val="28"/>
        </w:rPr>
        <w:t>如遇疫情、天气等不可抗力因素对经营造成的影响（如撤场），买受人须自行承担风险和经济损失。</w:t>
      </w:r>
    </w:p>
    <w:p>
      <w:pPr>
        <w:snapToGrid w:val="0"/>
        <w:spacing w:line="440" w:lineRule="atLeast"/>
        <w:ind w:firstLine="560" w:firstLineChars="200"/>
        <w:rPr>
          <w:rFonts w:hint="default" w:ascii="宋体" w:hAnsi="宋体"/>
          <w:sz w:val="28"/>
          <w:szCs w:val="28"/>
          <w:lang w:val="en-US" w:eastAsia="zh-CN"/>
        </w:rPr>
      </w:pPr>
    </w:p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jc w:val="both"/>
        <w:rPr>
          <w:rFonts w:hint="default"/>
          <w:b/>
          <w:bCs/>
          <w:color w:val="FF0000"/>
          <w:sz w:val="28"/>
          <w:szCs w:val="28"/>
          <w:lang w:val="en-US" w:eastAsia="zh-CN"/>
        </w:rPr>
      </w:pPr>
    </w:p>
    <w:sectPr>
      <w:pgSz w:w="11906" w:h="16838"/>
      <w:pgMar w:top="1440" w:right="1066" w:bottom="1440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19573E"/>
    <w:rsid w:val="01476ABE"/>
    <w:rsid w:val="06E53DAA"/>
    <w:rsid w:val="079C1343"/>
    <w:rsid w:val="0819573E"/>
    <w:rsid w:val="14DA6123"/>
    <w:rsid w:val="188D5DF7"/>
    <w:rsid w:val="18DB5F78"/>
    <w:rsid w:val="1EFE39A9"/>
    <w:rsid w:val="26A237F0"/>
    <w:rsid w:val="29AE4C8F"/>
    <w:rsid w:val="307B08D5"/>
    <w:rsid w:val="33AF0883"/>
    <w:rsid w:val="40471C76"/>
    <w:rsid w:val="40A07637"/>
    <w:rsid w:val="502F5819"/>
    <w:rsid w:val="55EC18B6"/>
    <w:rsid w:val="605730E1"/>
    <w:rsid w:val="6D2700AF"/>
    <w:rsid w:val="71ED02EF"/>
    <w:rsid w:val="76D35EFF"/>
    <w:rsid w:val="7A0B3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2021-02-26T06:27:00Z</dcterms:created>
  <dc:creator>高度</dc:creator>
  <cp:lastModifiedBy>Lowbill</cp:lastModifiedBy>
  <dcterms:modified xsi:type="dcterms:W3CDTF">2021-05-31T09:14:43Z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